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249B7AF4" w:rsidR="00A02AF1" w:rsidRPr="00214014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TH</w:t>
            </w:r>
            <w:r w:rsidRPr="00214014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D64796A" w:rsid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9910</w:t>
            </w:r>
            <w:r w:rsidR="002140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BLEWETT AVE</w:t>
            </w:r>
          </w:p>
          <w:p w14:paraId="6699E43E" w14:textId="1DACD4A6" w:rsidR="00A02AF1" w:rsidRP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NIAGARA FALLS ARS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 xml:space="preserve">, NEW YORK </w:t>
            </w:r>
            <w:r>
              <w:rPr>
                <w:rFonts w:ascii="Times New Roman" w:hAnsi="Times New Roman" w:cs="Times New Roman"/>
                <w:b/>
                <w:sz w:val="28"/>
              </w:rPr>
              <w:t>14304</w:t>
            </w:r>
          </w:p>
        </w:tc>
        <w:tc>
          <w:tcPr>
            <w:tcW w:w="5848" w:type="dxa"/>
          </w:tcPr>
          <w:p w14:paraId="38D60AF2" w14:textId="23B6F57B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NF</w:t>
            </w:r>
            <w:r w:rsidR="00155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0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</w:t>
            </w:r>
            <w:r w:rsidR="00064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E945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1997EBB3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57FBFF32" w:rsidR="00A02AF1" w:rsidRPr="00214014" w:rsidRDefault="00A8161F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UNIT: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00D574E" w14:textId="3BCB0EF7" w:rsidR="00D63258" w:rsidRPr="00E9454E" w:rsidRDefault="00A8161F" w:rsidP="00D63258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AFSC: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b/>
                <w:sz w:val="28"/>
              </w:rPr>
              <w:t>1W0X1</w:t>
            </w:r>
          </w:p>
          <w:p w14:paraId="1CEB2C07" w14:textId="5DDCA57A" w:rsidR="005A4332" w:rsidRPr="00214014" w:rsidRDefault="005F0CA7" w:rsidP="00D63258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 xml:space="preserve">MAX </w:t>
            </w:r>
            <w:r w:rsidR="005A4332" w:rsidRPr="00E9454E">
              <w:rPr>
                <w:rFonts w:ascii="Times New Roman" w:hAnsi="Times New Roman" w:cs="Times New Roman"/>
                <w:b/>
                <w:sz w:val="28"/>
              </w:rPr>
              <w:t>RANK:</w:t>
            </w:r>
            <w:r w:rsidR="002B1B7D" w:rsidRPr="00E9454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13C45" w:rsidRPr="00E9454E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POSITION TITLE: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E0C188" w14:textId="11BD591E" w:rsidR="00F00C58" w:rsidRDefault="00E9454E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Weather</w:t>
            </w:r>
          </w:p>
          <w:p w14:paraId="73F6A185" w14:textId="55A04747" w:rsidR="005F0CA7" w:rsidRPr="00214014" w:rsidRDefault="005F0CA7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8" w:type="dxa"/>
          </w:tcPr>
          <w:p w14:paraId="579F641A" w14:textId="1F4CD5D3" w:rsid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5AB77A5B" w14:textId="6F15EDBF" w:rsidR="00E9454E" w:rsidRPr="00E9454E" w:rsidRDefault="00E9454E" w:rsidP="00E9454E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Cs/>
                <w:sz w:val="24"/>
                <w:szCs w:val="24"/>
              </w:rPr>
              <w:t>Nationwide</w:t>
            </w:r>
          </w:p>
          <w:p w14:paraId="02004077" w14:textId="01349EA9" w:rsidR="00E9454E" w:rsidRPr="00E9454E" w:rsidRDefault="00FC342C" w:rsidP="00E9454E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Anyone Eligible </w:t>
            </w:r>
            <w:proofErr w:type="gramStart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Join The Air National Guard</w:t>
            </w:r>
            <w:r w:rsidR="00E9454E"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sz w:val="24"/>
                <w:szCs w:val="24"/>
              </w:rPr>
              <w:t>who meet the qualifications for these positions</w:t>
            </w:r>
          </w:p>
          <w:p w14:paraId="00613621" w14:textId="5EB5D837" w:rsidR="00177C66" w:rsidRPr="00177C66" w:rsidRDefault="00177C66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0006F2">
        <w:trPr>
          <w:trHeight w:hRule="exact" w:val="2525"/>
        </w:trPr>
        <w:tc>
          <w:tcPr>
            <w:tcW w:w="11703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SPECIALTY</w:t>
            </w:r>
            <w:r w:rsidRPr="00E9454E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9454E"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  <w:p w14:paraId="4E225264" w14:textId="77777777" w:rsidR="000006F2" w:rsidRDefault="000006F2" w:rsidP="000006F2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</w:p>
          <w:p w14:paraId="1591E405" w14:textId="66872798" w:rsidR="00235210" w:rsidRPr="00A37E15" w:rsidRDefault="00E9454E" w:rsidP="00E9454E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Performs and manages the collection, analysis, and forecast of atmospheric weather and space environmental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conditions to enable decision superiority and application of land, air, space and cyberspace power across the full spectrum of military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operations. Related DoD Occupational Subgroup: 142000.</w:t>
            </w:r>
          </w:p>
        </w:tc>
      </w:tr>
      <w:tr w:rsidR="00B26C7A" w:rsidRPr="00214014" w14:paraId="2530DF2A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159BDFC" w14:textId="034BDEAF" w:rsidR="00B26C7A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DUTIES AND RESPONSIBILITIES</w:t>
            </w:r>
          </w:p>
          <w:p w14:paraId="10AA7F32" w14:textId="77777777" w:rsidR="00E9454E" w:rsidRPr="00CE1250" w:rsidRDefault="00E9454E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4CD20880" w14:textId="2A0B6712" w:rsidR="00E9454E" w:rsidRPr="00A37E15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Collect, analyze and integrate atmospheric and space environmental information into military decision-making processes.</w:t>
            </w:r>
          </w:p>
          <w:p w14:paraId="309D058C" w14:textId="4986585E" w:rsidR="00E9454E" w:rsidRPr="00A37E15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Observe, record, and transmit surface, upper air and space environment observations.</w:t>
            </w:r>
          </w:p>
          <w:p w14:paraId="4BF55774" w14:textId="042E4360" w:rsidR="00E9454E" w:rsidRPr="00A37E15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Operate atmospheric and space-sensing instruments and computer workstations to interrogate data from weather radars,</w:t>
            </w:r>
            <w:r w:rsidR="00A37E15"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meteorological satellites, and products provided by military, national, and international weather agencies.</w:t>
            </w:r>
          </w:p>
          <w:p w14:paraId="1FF18B2D" w14:textId="31682A5F" w:rsidR="00E9454E" w:rsidRPr="00A37E15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Use a detailed understanding of the atmosphere and space environment to translate raw data into decision-quality environmental</w:t>
            </w:r>
            <w:r w:rsidR="00A37E15"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information.</w:t>
            </w:r>
          </w:p>
          <w:p w14:paraId="74AE9923" w14:textId="65948C26" w:rsidR="00E9454E" w:rsidRPr="00A37E15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Issue advisories, watches and warnings to alert users of dangerous, inclement, or operationally significant terrestrial and space</w:t>
            </w:r>
            <w:r w:rsidR="00A37E15"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weather events.</w:t>
            </w:r>
          </w:p>
          <w:p w14:paraId="32080980" w14:textId="3F7EEDFD" w:rsidR="00E9454E" w:rsidRPr="00A37E15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Understand war fighter tactics, techniques and procedures to maximize air, space, cyberspace combat power. Utilizes weather</w:t>
            </w:r>
            <w:r w:rsidR="00A37E15"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tactics, techniques, and procedures to integrate weather information into the decision-making process at all levels to mitigate and exploit</w:t>
            </w:r>
            <w:r w:rsidR="00A37E15">
              <w:rPr>
                <w:rFonts w:ascii="CIDFont+F1" w:eastAsiaTheme="minorHAnsi" w:hAnsi="CIDFont+F1" w:cs="CIDFont+F1"/>
                <w:sz w:val="24"/>
                <w:szCs w:val="24"/>
              </w:rPr>
              <w:t xml:space="preserve"> 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weather impact on operations.</w:t>
            </w:r>
          </w:p>
          <w:p w14:paraId="13C8EA3B" w14:textId="5514D59B" w:rsidR="00B26C7A" w:rsidRPr="00A37E15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4"/>
                <w:szCs w:val="24"/>
              </w:rPr>
            </w:pP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Manage weather operations, ensure quality, and adapt resources to meet mission requirements</w:t>
            </w:r>
            <w:r w:rsidRPr="00A37E15">
              <w:rPr>
                <w:rFonts w:ascii="CIDFont+F1" w:eastAsiaTheme="minorHAnsi" w:hAnsi="CIDFont+F1" w:cs="CIDFont+F1"/>
                <w:sz w:val="24"/>
                <w:szCs w:val="24"/>
              </w:rPr>
              <w:t>.</w:t>
            </w:r>
          </w:p>
          <w:p w14:paraId="1B5385AC" w14:textId="6E3BD7EC" w:rsidR="00E9454E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48BE152F" w14:textId="77777777" w:rsidR="00E9454E" w:rsidRPr="00E9454E" w:rsidRDefault="00E9454E" w:rsidP="00E9454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3F3F755B" w14:textId="77777777" w:rsidR="00E9454E" w:rsidRPr="00E9454E" w:rsidRDefault="00E9454E" w:rsidP="00E9454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085F044" w14:textId="1D6275D3" w:rsidR="00E9454E" w:rsidRPr="00E9454E" w:rsidRDefault="00E9454E" w:rsidP="00E9454E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Please Contact </w:t>
            </w:r>
            <w:proofErr w:type="gramStart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The</w:t>
            </w:r>
            <w:proofErr w:type="gramEnd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Recruiting Office @ 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716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-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236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-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3085 or email @ Nicholas.Dodge.1@us.af.mil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f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or Qualification and Eligibility Questions.</w:t>
            </w:r>
          </w:p>
          <w:p w14:paraId="08D75AAB" w14:textId="77777777" w:rsidR="00E9454E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0B9D1B66" w14:textId="0A91BB3E" w:rsidR="00E9454E" w:rsidRPr="00E9454E" w:rsidRDefault="00E9454E" w:rsidP="00E9454E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77F" w14:textId="77777777" w:rsidR="00432B17" w:rsidRDefault="00432B17">
      <w:r>
        <w:separator/>
      </w:r>
    </w:p>
  </w:endnote>
  <w:endnote w:type="continuationSeparator" w:id="0">
    <w:p w14:paraId="45ECC437" w14:textId="77777777" w:rsidR="00432B17" w:rsidRDefault="004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YF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9DE" w14:textId="77777777" w:rsidR="00432B17" w:rsidRDefault="00432B17">
      <w:r>
        <w:separator/>
      </w:r>
    </w:p>
  </w:footnote>
  <w:footnote w:type="continuationSeparator" w:id="0">
    <w:p w14:paraId="48E63850" w14:textId="77777777" w:rsidR="00432B17" w:rsidRDefault="004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973FB9"/>
    <w:multiLevelType w:val="hybridMultilevel"/>
    <w:tmpl w:val="AD786DC4"/>
    <w:lvl w:ilvl="0" w:tplc="99E2E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835021">
    <w:abstractNumId w:val="3"/>
  </w:num>
  <w:num w:numId="2" w16cid:durableId="1182620717">
    <w:abstractNumId w:val="1"/>
  </w:num>
  <w:num w:numId="3" w16cid:durableId="1550654537">
    <w:abstractNumId w:val="7"/>
  </w:num>
  <w:num w:numId="4" w16cid:durableId="1469282955">
    <w:abstractNumId w:val="4"/>
  </w:num>
  <w:num w:numId="5" w16cid:durableId="1953318907">
    <w:abstractNumId w:val="0"/>
  </w:num>
  <w:num w:numId="6" w16cid:durableId="495658404">
    <w:abstractNumId w:val="2"/>
  </w:num>
  <w:num w:numId="7" w16cid:durableId="2060202104">
    <w:abstractNumId w:val="6"/>
  </w:num>
  <w:num w:numId="8" w16cid:durableId="103785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006F2"/>
    <w:rsid w:val="000609E7"/>
    <w:rsid w:val="00064A89"/>
    <w:rsid w:val="000655E8"/>
    <w:rsid w:val="00081F1F"/>
    <w:rsid w:val="000F5465"/>
    <w:rsid w:val="00126F33"/>
    <w:rsid w:val="001549B4"/>
    <w:rsid w:val="001553A7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2B1B7D"/>
    <w:rsid w:val="003017FD"/>
    <w:rsid w:val="00324C19"/>
    <w:rsid w:val="003711C1"/>
    <w:rsid w:val="003B72F6"/>
    <w:rsid w:val="003F2B77"/>
    <w:rsid w:val="00403E9C"/>
    <w:rsid w:val="00404A5A"/>
    <w:rsid w:val="00432B17"/>
    <w:rsid w:val="0046007C"/>
    <w:rsid w:val="00461A3C"/>
    <w:rsid w:val="004A65CE"/>
    <w:rsid w:val="004D66F5"/>
    <w:rsid w:val="004E6282"/>
    <w:rsid w:val="004F20F3"/>
    <w:rsid w:val="00535B9D"/>
    <w:rsid w:val="005477D6"/>
    <w:rsid w:val="00556AF6"/>
    <w:rsid w:val="0058233C"/>
    <w:rsid w:val="005A4332"/>
    <w:rsid w:val="005C126F"/>
    <w:rsid w:val="005F0CA7"/>
    <w:rsid w:val="0061679B"/>
    <w:rsid w:val="006362C2"/>
    <w:rsid w:val="00663C91"/>
    <w:rsid w:val="00692C4E"/>
    <w:rsid w:val="00696F4C"/>
    <w:rsid w:val="006B04F4"/>
    <w:rsid w:val="006E02A0"/>
    <w:rsid w:val="006E46BB"/>
    <w:rsid w:val="00713C45"/>
    <w:rsid w:val="00720948"/>
    <w:rsid w:val="0073383C"/>
    <w:rsid w:val="00752BCA"/>
    <w:rsid w:val="00763CED"/>
    <w:rsid w:val="007D797B"/>
    <w:rsid w:val="00827885"/>
    <w:rsid w:val="00834807"/>
    <w:rsid w:val="00857996"/>
    <w:rsid w:val="008C5531"/>
    <w:rsid w:val="008D6D3F"/>
    <w:rsid w:val="008E1DE2"/>
    <w:rsid w:val="00962089"/>
    <w:rsid w:val="00987FAF"/>
    <w:rsid w:val="009D683A"/>
    <w:rsid w:val="00A02AF1"/>
    <w:rsid w:val="00A345AC"/>
    <w:rsid w:val="00A37E15"/>
    <w:rsid w:val="00A4072C"/>
    <w:rsid w:val="00A43F29"/>
    <w:rsid w:val="00A53284"/>
    <w:rsid w:val="00A55051"/>
    <w:rsid w:val="00A65F6B"/>
    <w:rsid w:val="00A70369"/>
    <w:rsid w:val="00A8002E"/>
    <w:rsid w:val="00A8161F"/>
    <w:rsid w:val="00A85B1A"/>
    <w:rsid w:val="00A9212A"/>
    <w:rsid w:val="00AA1299"/>
    <w:rsid w:val="00AB101F"/>
    <w:rsid w:val="00AB23B0"/>
    <w:rsid w:val="00AB46A2"/>
    <w:rsid w:val="00AB6376"/>
    <w:rsid w:val="00AD4E28"/>
    <w:rsid w:val="00B243B4"/>
    <w:rsid w:val="00B26C7A"/>
    <w:rsid w:val="00B65656"/>
    <w:rsid w:val="00B66A64"/>
    <w:rsid w:val="00B85CE9"/>
    <w:rsid w:val="00B97A1B"/>
    <w:rsid w:val="00BB0FEA"/>
    <w:rsid w:val="00BE0D5C"/>
    <w:rsid w:val="00BF3E0F"/>
    <w:rsid w:val="00C23F92"/>
    <w:rsid w:val="00C25614"/>
    <w:rsid w:val="00C3321F"/>
    <w:rsid w:val="00C82BAB"/>
    <w:rsid w:val="00C83338"/>
    <w:rsid w:val="00CE1250"/>
    <w:rsid w:val="00CE4F5E"/>
    <w:rsid w:val="00D55276"/>
    <w:rsid w:val="00D56259"/>
    <w:rsid w:val="00D63258"/>
    <w:rsid w:val="00D95F36"/>
    <w:rsid w:val="00D96363"/>
    <w:rsid w:val="00DA6E06"/>
    <w:rsid w:val="00DB50A9"/>
    <w:rsid w:val="00E70322"/>
    <w:rsid w:val="00E9454E"/>
    <w:rsid w:val="00EB1ECB"/>
    <w:rsid w:val="00F00C58"/>
    <w:rsid w:val="00F2021B"/>
    <w:rsid w:val="00F20632"/>
    <w:rsid w:val="00F218A7"/>
    <w:rsid w:val="00F2440C"/>
    <w:rsid w:val="00F631D2"/>
    <w:rsid w:val="00F90652"/>
    <w:rsid w:val="00FB41E6"/>
    <w:rsid w:val="00FC342C"/>
    <w:rsid w:val="00FE4062"/>
    <w:rsid w:val="00FE575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2D6DECCBE0A43964288723EABFE13" ma:contentTypeVersion="9" ma:contentTypeDescription="Create a new document." ma:contentTypeScope="" ma:versionID="e9233aec877b3791f346d8e94e6a497c">
  <xsd:schema xmlns:xsd="http://www.w3.org/2001/XMLSchema" xmlns:xs="http://www.w3.org/2001/XMLSchema" xmlns:p="http://schemas.microsoft.com/office/2006/metadata/properties" xmlns:ns1="http://schemas.microsoft.com/sharepoint/v3" xmlns:ns2="dddce077-7e7b-48c5-93fb-fb706ecec361" targetNamespace="http://schemas.microsoft.com/office/2006/metadata/properties" ma:root="true" ma:fieldsID="6793fb93d6193ce1ddebf8c882d8dd8e" ns1:_="" ns2:_="">
    <xsd:import namespace="http://schemas.microsoft.com/sharepoint/v3"/>
    <xsd:import namespace="dddce077-7e7b-48c5-93fb-fb706ecec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e077-7e7b-48c5-93fb-fb706ecec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2CD0-F2A3-4D81-9DED-77464D9D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ce077-7e7b-48c5-93fb-fb706ecec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MICHAEL</cp:lastModifiedBy>
  <cp:revision>4</cp:revision>
  <dcterms:created xsi:type="dcterms:W3CDTF">2022-12-22T13:45:00Z</dcterms:created>
  <dcterms:modified xsi:type="dcterms:W3CDTF">2022-12-22T13:46:00Z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0x010100E262D6DECCBE0A43964288723EABFE13</vt:lpwstr>
  </property>
</Properties>
</file>