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692C4E" w:rsidRPr="00B26C7A">
              <w:rPr>
                <w:rFonts w:ascii="Times New Roman" w:hAnsi="Times New Roman" w:cs="Times New Roman"/>
                <w:color w:val="FF0000"/>
                <w:sz w:val="24"/>
                <w:szCs w:val="24"/>
              </w:rPr>
              <w:t>FY 22-</w:t>
            </w:r>
            <w:r w:rsidR="006E46BB" w:rsidRPr="00B26C7A">
              <w:rPr>
                <w:rFonts w:ascii="Times New Roman" w:hAnsi="Times New Roman" w:cs="Times New Roman"/>
                <w:color w:val="FF0000"/>
                <w:sz w:val="24"/>
                <w:szCs w:val="24"/>
              </w:rPr>
              <w:t>XX</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57F29EE4" w:rsidR="00A02AF1" w:rsidRPr="00214014" w:rsidRDefault="00A8161F" w:rsidP="00AA3EFC">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AA3EFC">
              <w:rPr>
                <w:rFonts w:ascii="Times New Roman" w:hAnsi="Times New Roman" w:cs="Times New Roman"/>
                <w:b/>
                <w:sz w:val="24"/>
                <w:szCs w:val="24"/>
              </w:rPr>
              <w:t>14 July</w:t>
            </w:r>
            <w:r w:rsidR="005A4332">
              <w:rPr>
                <w:rFonts w:ascii="Times New Roman" w:hAnsi="Times New Roman" w:cs="Times New Roman"/>
                <w:b/>
                <w:sz w:val="24"/>
                <w:szCs w:val="24"/>
              </w:rPr>
              <w:t xml:space="preserve"> 2022</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37C859F9" w:rsidR="00A02AF1" w:rsidRPr="00214014" w:rsidRDefault="00A8161F" w:rsidP="008357FC">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3B72F6" w:rsidRPr="00255CF1">
              <w:rPr>
                <w:rFonts w:ascii="Times New Roman" w:hAnsi="Times New Roman" w:cs="Times New Roman"/>
                <w:sz w:val="24"/>
                <w:szCs w:val="24"/>
              </w:rPr>
              <w:t>174</w:t>
            </w:r>
            <w:r w:rsidR="00692C4E" w:rsidRPr="00692C4E">
              <w:rPr>
                <w:rFonts w:ascii="Times New Roman" w:hAnsi="Times New Roman" w:cs="Times New Roman"/>
                <w:sz w:val="24"/>
                <w:szCs w:val="24"/>
                <w:vertAlign w:val="superscript"/>
              </w:rPr>
              <w:t>th</w:t>
            </w:r>
            <w:r w:rsidR="00692C4E">
              <w:rPr>
                <w:rFonts w:ascii="Times New Roman" w:hAnsi="Times New Roman" w:cs="Times New Roman"/>
                <w:sz w:val="24"/>
                <w:szCs w:val="24"/>
              </w:rPr>
              <w:t xml:space="preserve"> Maintenance </w:t>
            </w:r>
            <w:r w:rsidR="008357FC">
              <w:rPr>
                <w:rFonts w:ascii="Times New Roman" w:hAnsi="Times New Roman" w:cs="Times New Roman"/>
                <w:sz w:val="24"/>
                <w:szCs w:val="24"/>
              </w:rPr>
              <w:t>Group</w:t>
            </w:r>
            <w:r w:rsidR="00692C4E">
              <w:rPr>
                <w:rFonts w:ascii="Times New Roman" w:hAnsi="Times New Roman" w:cs="Times New Roman"/>
                <w:sz w:val="24"/>
                <w:szCs w:val="24"/>
              </w:rPr>
              <w:t xml:space="preserve"> </w:t>
            </w:r>
            <w:r w:rsidR="00550D8C">
              <w:rPr>
                <w:rFonts w:ascii="Times New Roman" w:hAnsi="Times New Roman" w:cs="Times New Roman"/>
                <w:sz w:val="24"/>
                <w:szCs w:val="24"/>
              </w:rPr>
              <w:t>/ QA</w:t>
            </w:r>
          </w:p>
        </w:tc>
        <w:tc>
          <w:tcPr>
            <w:tcW w:w="5848" w:type="dxa"/>
            <w:tcBorders>
              <w:right w:val="single" w:sz="12" w:space="0" w:color="000000"/>
            </w:tcBorders>
          </w:tcPr>
          <w:p w14:paraId="645B4822" w14:textId="5B2C5955"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8357FC">
              <w:rPr>
                <w:rFonts w:ascii="Times New Roman" w:hAnsi="Times New Roman" w:cs="Times New Roman"/>
                <w:sz w:val="24"/>
                <w:szCs w:val="24"/>
              </w:rPr>
              <w:t>1D79</w:t>
            </w:r>
            <w:r w:rsidR="00AA3EFC">
              <w:rPr>
                <w:rFonts w:ascii="Times New Roman" w:hAnsi="Times New Roman" w:cs="Times New Roman"/>
                <w:sz w:val="24"/>
                <w:szCs w:val="24"/>
              </w:rPr>
              <w:t>1</w:t>
            </w:r>
          </w:p>
          <w:p w14:paraId="1CEB2C07" w14:textId="109CC472" w:rsidR="005A4332" w:rsidRPr="00214014" w:rsidRDefault="005A4332" w:rsidP="006E46BB">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8357FC">
              <w:rPr>
                <w:rFonts w:ascii="Times New Roman" w:hAnsi="Times New Roman" w:cs="Times New Roman"/>
                <w:sz w:val="28"/>
              </w:rPr>
              <w:t xml:space="preserve">  SM</w:t>
            </w:r>
            <w:r>
              <w:rPr>
                <w:rFonts w:ascii="Times New Roman" w:hAnsi="Times New Roman" w:cs="Times New Roman"/>
                <w:sz w:val="28"/>
              </w:rPr>
              <w: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33C5F7ED" w:rsidR="00F00C58" w:rsidRPr="00214014" w:rsidRDefault="00AA3EFC" w:rsidP="00A43F29">
            <w:pPr>
              <w:pStyle w:val="TableParagraph"/>
              <w:ind w:left="86"/>
              <w:jc w:val="center"/>
              <w:rPr>
                <w:rFonts w:ascii="Times New Roman" w:hAnsi="Times New Roman" w:cs="Times New Roman"/>
                <w:sz w:val="28"/>
              </w:rPr>
            </w:pPr>
            <w:bookmarkStart w:id="0" w:name="_GoBack"/>
            <w:r>
              <w:t>CYBER DEFENSE OPERATIONS</w:t>
            </w:r>
            <w:r w:rsidR="00550D8C">
              <w:t xml:space="preserve"> INSPECTOR</w:t>
            </w:r>
            <w:bookmarkEnd w:id="0"/>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B26C7A">
        <w:trPr>
          <w:trHeight w:hRule="exact" w:val="1364"/>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02FB301E" w14:textId="77777777" w:rsidR="00A02AF1" w:rsidRPr="00AA3EFC" w:rsidRDefault="00A8161F" w:rsidP="00A43F29">
            <w:pPr>
              <w:pStyle w:val="TableParagraph"/>
              <w:tabs>
                <w:tab w:val="left" w:pos="6606"/>
              </w:tabs>
              <w:ind w:left="36" w:right="108"/>
              <w:jc w:val="center"/>
              <w:rPr>
                <w:rFonts w:ascii="Times New Roman" w:hAnsi="Times New Roman" w:cs="Times New Roman"/>
                <w:sz w:val="20"/>
                <w:szCs w:val="20"/>
              </w:rPr>
            </w:pPr>
            <w:r w:rsidRPr="00AA3EFC">
              <w:rPr>
                <w:rFonts w:ascii="Times New Roman" w:hAnsi="Times New Roman" w:cs="Times New Roman"/>
                <w:sz w:val="20"/>
                <w:szCs w:val="20"/>
              </w:rPr>
              <w:t>(As outlined in</w:t>
            </w:r>
            <w:r w:rsidRPr="00AA3EFC">
              <w:rPr>
                <w:rFonts w:ascii="Times New Roman" w:hAnsi="Times New Roman" w:cs="Times New Roman"/>
                <w:spacing w:val="-12"/>
                <w:sz w:val="20"/>
                <w:szCs w:val="20"/>
              </w:rPr>
              <w:t xml:space="preserve"> </w:t>
            </w:r>
            <w:r w:rsidR="00F00C58" w:rsidRPr="00AA3EFC">
              <w:rPr>
                <w:rFonts w:ascii="Times New Roman" w:hAnsi="Times New Roman" w:cs="Times New Roman"/>
                <w:sz w:val="20"/>
                <w:szCs w:val="20"/>
              </w:rPr>
              <w:t>AFE</w:t>
            </w:r>
            <w:r w:rsidRPr="00AA3EFC">
              <w:rPr>
                <w:rFonts w:ascii="Times New Roman" w:hAnsi="Times New Roman" w:cs="Times New Roman"/>
                <w:sz w:val="20"/>
                <w:szCs w:val="20"/>
              </w:rPr>
              <w:t>CD</w:t>
            </w:r>
            <w:r w:rsidR="00AD4E28" w:rsidRPr="00AA3EFC">
              <w:rPr>
                <w:rFonts w:ascii="Times New Roman" w:hAnsi="Times New Roman" w:cs="Times New Roman"/>
                <w:sz w:val="20"/>
                <w:szCs w:val="20"/>
              </w:rPr>
              <w:t xml:space="preserve">, </w:t>
            </w:r>
            <w:r w:rsidR="00177C66" w:rsidRPr="00AA3EFC">
              <w:rPr>
                <w:rFonts w:ascii="Times New Roman" w:hAnsi="Times New Roman" w:cs="Times New Roman"/>
                <w:sz w:val="20"/>
                <w:szCs w:val="20"/>
              </w:rPr>
              <w:t>31 OCT 2021</w:t>
            </w:r>
            <w:r w:rsidRPr="00AA3EFC">
              <w:rPr>
                <w:rFonts w:ascii="Times New Roman" w:hAnsi="Times New Roman" w:cs="Times New Roman"/>
                <w:sz w:val="20"/>
                <w:szCs w:val="20"/>
              </w:rPr>
              <w:t>)</w:t>
            </w:r>
          </w:p>
          <w:p w14:paraId="1591E405" w14:textId="601771D8" w:rsidR="00235210" w:rsidRPr="00AA3EFC" w:rsidRDefault="00AA3EFC" w:rsidP="00204E8A">
            <w:pPr>
              <w:pStyle w:val="Default"/>
              <w:jc w:val="both"/>
              <w:rPr>
                <w:sz w:val="14"/>
                <w:szCs w:val="14"/>
              </w:rPr>
            </w:pPr>
            <w:r w:rsidRPr="00AA3EFC">
              <w:rPr>
                <w:sz w:val="14"/>
                <w:szCs w:val="14"/>
              </w:rPr>
              <w:t>Manages and preforms defensive cyber operations and cyber support functions (</w:t>
            </w:r>
            <w:proofErr w:type="spellStart"/>
            <w:r w:rsidRPr="00AA3EFC">
              <w:rPr>
                <w:sz w:val="14"/>
                <w:szCs w:val="14"/>
              </w:rPr>
              <w:t>DoDIN</w:t>
            </w:r>
            <w:proofErr w:type="spellEnd"/>
            <w:r w:rsidRPr="00AA3EFC">
              <w:rPr>
                <w:sz w:val="14"/>
                <w:szCs w:val="14"/>
              </w:rPr>
              <w:t xml:space="preserve"> operations) in- garrison and at deployed locations. Surveys, secures, protects, defends, preserves, designs, builds, operates, and extends data, networks, net-centric capabilities, and other designated systems. This Air Force Specialty Code description incorporates the use of Defense Cyberspace Workforce Framework (DCWF) Codes to tie this specialty description to the framework. The DCWF was developed by the National Institute of Standards and Technology (NIST) and the DoD to establish a common lexicon and model for all cyber work. The DCWF will universalize training and education between academia, industry, and military. It will also enable talent management by ensuring the right Airmen, for the right assignment, at the right time. Where specified, some contents are only applicable to the United States Space Force (USSF). </w:t>
            </w:r>
          </w:p>
        </w:tc>
      </w:tr>
      <w:tr w:rsidR="00B26C7A" w:rsidRPr="00214014" w14:paraId="2530DF2A" w14:textId="77777777" w:rsidTr="00B26C7A">
        <w:trPr>
          <w:trHeight w:hRule="exact" w:val="4145"/>
        </w:trPr>
        <w:tc>
          <w:tcPr>
            <w:tcW w:w="11703" w:type="dxa"/>
            <w:gridSpan w:val="2"/>
          </w:tcPr>
          <w:p w14:paraId="3159BDFC" w14:textId="77777777" w:rsidR="00B26C7A"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DUTIES AND RESPONSIBILITIES</w:t>
            </w:r>
          </w:p>
          <w:p w14:paraId="5ADA3E24" w14:textId="77777777" w:rsidR="00B26C7A" w:rsidRPr="00B26C7A" w:rsidRDefault="00B26C7A" w:rsidP="00B26C7A">
            <w:pPr>
              <w:widowControl/>
              <w:adjustRightInd w:val="0"/>
              <w:rPr>
                <w:rFonts w:ascii="Times New Roman" w:eastAsiaTheme="minorHAnsi" w:hAnsi="Times New Roman" w:cs="Times New Roman"/>
                <w:color w:val="2E2E2E"/>
                <w:sz w:val="20"/>
                <w:szCs w:val="20"/>
              </w:rPr>
            </w:pPr>
            <w:r w:rsidRPr="00B26C7A">
              <w:rPr>
                <w:rFonts w:ascii="Times New Roman" w:eastAsiaTheme="minorHAnsi" w:hAnsi="Times New Roman" w:cs="Times New Roman"/>
                <w:b/>
                <w:bCs/>
                <w:color w:val="2E2E2E"/>
                <w:sz w:val="20"/>
                <w:szCs w:val="20"/>
              </w:rPr>
              <w:t xml:space="preserve">Duties and Responsibilities. </w:t>
            </w:r>
          </w:p>
          <w:p w14:paraId="7B5DB46B" w14:textId="77777777" w:rsidR="00B26C7A" w:rsidRPr="00AA3EFC" w:rsidRDefault="00AA3EFC" w:rsidP="00AA3EFC">
            <w:pPr>
              <w:widowControl/>
              <w:adjustRightInd w:val="0"/>
              <w:rPr>
                <w:sz w:val="14"/>
                <w:szCs w:val="14"/>
              </w:rPr>
            </w:pPr>
            <w:r w:rsidRPr="00AA3EFC">
              <w:rPr>
                <w:sz w:val="14"/>
                <w:szCs w:val="14"/>
              </w:rPr>
              <w:t>2.1.1. Performs Defensive Cyber activities and operations.</w:t>
            </w:r>
          </w:p>
          <w:p w14:paraId="684321EA" w14:textId="77777777" w:rsidR="00AA3EFC" w:rsidRPr="00AA3EFC" w:rsidRDefault="00AA3EFC" w:rsidP="00AA3EFC">
            <w:pPr>
              <w:widowControl/>
              <w:adjustRightInd w:val="0"/>
              <w:rPr>
                <w:sz w:val="14"/>
                <w:szCs w:val="14"/>
              </w:rPr>
            </w:pPr>
            <w:r w:rsidRPr="00AA3EFC">
              <w:rPr>
                <w:sz w:val="14"/>
                <w:szCs w:val="14"/>
              </w:rPr>
              <w:t>2.1.1.1. Responds to disruptions within the pertinent domain to mitigate immediate and potential threats. Uses mitigation, preparedness, and response and recovery approaches to maximize survival of life, preservation of property, and information security. Investigates and analyzes relevant response activities and evaluates the effectiveness of and improvements to existing practices. [DCWF Code – 531]</w:t>
            </w:r>
          </w:p>
          <w:p w14:paraId="61AB92C3" w14:textId="77777777" w:rsidR="00AA3EFC" w:rsidRPr="00AA3EFC" w:rsidRDefault="00AA3EFC" w:rsidP="00AA3EFC">
            <w:pPr>
              <w:widowControl/>
              <w:adjustRightInd w:val="0"/>
              <w:rPr>
                <w:sz w:val="14"/>
                <w:szCs w:val="14"/>
              </w:rPr>
            </w:pPr>
            <w:r w:rsidRPr="00AA3EFC">
              <w:rPr>
                <w:sz w:val="14"/>
                <w:szCs w:val="14"/>
              </w:rPr>
              <w:t>2.1.1.2. Uses defensive measures and information collected from a variety of sources to identify, analyze, and report events that occur or might occur within the network or RF Spectrum in order to protect information, information systems, networks, and RF systems from threats. Uses data collected from a variety of cyber defense tools (e.g., IDS alerts, firewalls, network traffic logs) to analyze events that occur within their environments for the purposes of mitigating threats. [DCWF Code – 511]</w:t>
            </w:r>
          </w:p>
          <w:p w14:paraId="2D8027A5" w14:textId="77777777" w:rsidR="00AA3EFC" w:rsidRPr="00AA3EFC" w:rsidRDefault="00AA3EFC" w:rsidP="00AA3EFC">
            <w:pPr>
              <w:widowControl/>
              <w:adjustRightInd w:val="0"/>
              <w:rPr>
                <w:sz w:val="14"/>
                <w:szCs w:val="14"/>
              </w:rPr>
            </w:pPr>
            <w:r w:rsidRPr="00AA3EFC">
              <w:rPr>
                <w:sz w:val="14"/>
                <w:szCs w:val="14"/>
              </w:rPr>
              <w:t>2.1.1.3. Conducts threat and vulnerability assessments and determines deviations from acceptable configurations or policies. Assesses the level of risk and develops and/or recommends appropriate mitigation countermeasures. Measures effectiveness of defense-in-depth architecture against known vulnerabilities. [DCFW Code – 541]</w:t>
            </w:r>
          </w:p>
          <w:p w14:paraId="0C638EB1" w14:textId="77777777" w:rsidR="00AA3EFC" w:rsidRPr="00AA3EFC" w:rsidRDefault="00AA3EFC" w:rsidP="00AA3EFC">
            <w:pPr>
              <w:widowControl/>
              <w:adjustRightInd w:val="0"/>
              <w:rPr>
                <w:sz w:val="14"/>
                <w:szCs w:val="14"/>
              </w:rPr>
            </w:pPr>
            <w:r w:rsidRPr="00AA3EFC">
              <w:rPr>
                <w:sz w:val="14"/>
                <w:szCs w:val="14"/>
              </w:rPr>
              <w:t>2.1.1.4. Performs and supports cyber mission Planning, Briefing, Execution, and Debriefing (PBED). Identifies, validates and synchronizes resources to enable integration during the execution of defensive cyber operations. [DCWF Code - 332]</w:t>
            </w:r>
          </w:p>
          <w:p w14:paraId="59E10B16" w14:textId="77777777" w:rsidR="00AA3EFC" w:rsidRPr="00AA3EFC" w:rsidRDefault="00AA3EFC" w:rsidP="00AA3EFC">
            <w:pPr>
              <w:widowControl/>
              <w:adjustRightInd w:val="0"/>
              <w:rPr>
                <w:sz w:val="14"/>
                <w:szCs w:val="14"/>
              </w:rPr>
            </w:pPr>
            <w:r w:rsidRPr="00AA3EFC">
              <w:rPr>
                <w:sz w:val="14"/>
                <w:szCs w:val="14"/>
              </w:rPr>
              <w:t>2.1.1.5. Collects, processes, preserves, analyzes, and presents computer-related artifacts in support of network vulnerability mitigation. [DCWF Code – 211]</w:t>
            </w:r>
          </w:p>
          <w:p w14:paraId="78048AD6" w14:textId="77777777" w:rsidR="00AA3EFC" w:rsidRPr="00AA3EFC" w:rsidRDefault="00AA3EFC" w:rsidP="00AA3EFC">
            <w:pPr>
              <w:widowControl/>
              <w:adjustRightInd w:val="0"/>
              <w:rPr>
                <w:sz w:val="14"/>
                <w:szCs w:val="14"/>
              </w:rPr>
            </w:pPr>
            <w:r w:rsidRPr="00AA3EFC">
              <w:rPr>
                <w:sz w:val="14"/>
                <w:szCs w:val="14"/>
              </w:rPr>
              <w:t>2.1.2 Performs Department of Defense Information Network activities and operations.</w:t>
            </w:r>
          </w:p>
          <w:p w14:paraId="1867C7C8" w14:textId="77777777" w:rsidR="00AA3EFC" w:rsidRPr="00AA3EFC" w:rsidRDefault="00AA3EFC" w:rsidP="00AA3EFC">
            <w:pPr>
              <w:widowControl/>
              <w:adjustRightInd w:val="0"/>
              <w:rPr>
                <w:sz w:val="14"/>
                <w:szCs w:val="14"/>
              </w:rPr>
            </w:pPr>
            <w:r w:rsidRPr="00AA3EFC">
              <w:rPr>
                <w:sz w:val="14"/>
                <w:szCs w:val="14"/>
              </w:rPr>
              <w:t>2.1.2.1. Oversees the cybersecurity program of an information system, network, or RF system; including managing information security implications within the organization, specific program, or other area of responsibility, to include Communications Security (COMSEC), Emissions Security (EMSEC), Computer Security (COMPUSEC), personnel, infrastructure, requirements, policy enforcement, emergency planning, security awareness, and other resources. Oversees, evaluates, and supports the documentation, validation, assessment, and authorization processes necessary to assure that existing and new information technology (IT) systems meet the organization's cybersecurity and risk requirements. Ensures appropriate treatment of risk, compliance, and assurance from internal and external perspectives. [DCWF Code - 612/722/723]</w:t>
            </w:r>
          </w:p>
          <w:p w14:paraId="7CFF0927" w14:textId="77777777" w:rsidR="00AA3EFC" w:rsidRDefault="00AA3EFC" w:rsidP="00AA3EFC">
            <w:pPr>
              <w:widowControl/>
              <w:adjustRightInd w:val="0"/>
              <w:rPr>
                <w:sz w:val="14"/>
                <w:szCs w:val="14"/>
              </w:rPr>
            </w:pPr>
            <w:r w:rsidRPr="00AA3EFC">
              <w:rPr>
                <w:sz w:val="14"/>
                <w:szCs w:val="14"/>
              </w:rPr>
              <w:t>2.1.2.2. Manages and administers integrated methods, enabling the organization to identify, capture, catalog, classify, retrieve, and share intellectual capital and information content. The methods may include utilizing processes and tools (e.g., databases, documents, policies, procedures) and expertise pertaining to the organization. [DCWF Code – 431]</w:t>
            </w:r>
          </w:p>
          <w:p w14:paraId="71F782E4" w14:textId="77777777" w:rsidR="00550D8C" w:rsidRDefault="00550D8C" w:rsidP="00550D8C">
            <w:pPr>
              <w:widowControl/>
              <w:adjustRightInd w:val="0"/>
              <w:rPr>
                <w:rFonts w:ascii="Times New Roman" w:eastAsiaTheme="minorHAnsi" w:hAnsi="Times New Roman" w:cs="Times New Roman"/>
                <w:color w:val="000000"/>
                <w:sz w:val="19"/>
                <w:szCs w:val="19"/>
              </w:rPr>
            </w:pPr>
            <w:r>
              <w:rPr>
                <w:rFonts w:ascii="Times New Roman" w:eastAsiaTheme="minorHAnsi" w:hAnsi="Times New Roman" w:cs="Times New Roman"/>
                <w:color w:val="000000"/>
                <w:sz w:val="19"/>
                <w:szCs w:val="19"/>
              </w:rPr>
              <w:t xml:space="preserve">(THIS POSITION IS WITHIN THE QUALITY ASSURANCE FLIGHT AND WILL INSPECT AREAS WITHIN AND OUTSIDE THIS AFSC)  </w:t>
            </w:r>
          </w:p>
          <w:p w14:paraId="0B9D1B66" w14:textId="1BFABBB0" w:rsidR="00550D8C" w:rsidRPr="00AA3EFC" w:rsidRDefault="00550D8C" w:rsidP="00AA3EFC">
            <w:pPr>
              <w:widowControl/>
              <w:adjustRightInd w:val="0"/>
              <w:rPr>
                <w:rFonts w:ascii="Times New Roman" w:eastAsiaTheme="minorHAnsi" w:hAnsi="Times New Roman" w:cs="Times New Roman"/>
                <w:b/>
                <w:sz w:val="14"/>
                <w:szCs w:val="14"/>
              </w:rPr>
            </w:pPr>
          </w:p>
        </w:tc>
      </w:tr>
      <w:tr w:rsidR="00A02AF1" w:rsidRPr="00214014" w14:paraId="341262BA" w14:textId="77777777" w:rsidTr="00B26C7A">
        <w:trPr>
          <w:trHeight w:hRule="exact" w:val="923"/>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580E96C0" w:rsidR="00692C4E" w:rsidRPr="00692C4E" w:rsidRDefault="00AA3EFC" w:rsidP="00692C4E">
            <w:pPr>
              <w:pStyle w:val="TableParagraph"/>
              <w:rPr>
                <w:rFonts w:ascii="Times New Roman" w:hAnsi="Times New Roman" w:cs="Times New Roman"/>
                <w:sz w:val="28"/>
              </w:rPr>
            </w:pPr>
            <w:r>
              <w:rPr>
                <w:rFonts w:ascii="Times New Roman" w:hAnsi="Times New Roman" w:cs="Times New Roman"/>
                <w:sz w:val="24"/>
              </w:rPr>
              <w:t xml:space="preserve">Top </w:t>
            </w:r>
            <w:r w:rsidR="00692C4E"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B26C7A">
        <w:trPr>
          <w:trHeight w:hRule="exact" w:val="150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475CE8FA" w14:textId="77777777" w:rsidR="00B26C7A" w:rsidRDefault="00FC342C" w:rsidP="00B26C7A">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Please Contact The Recruiting Office @ 1800-883-4484 For Qualification and Eligibility Questions.</w:t>
            </w:r>
          </w:p>
          <w:p w14:paraId="5262A15A" w14:textId="77777777" w:rsidR="00FC342C" w:rsidRDefault="00FC342C" w:rsidP="00B26C7A">
            <w:pPr>
              <w:pStyle w:val="TableParagraph"/>
              <w:jc w:val="center"/>
              <w:rPr>
                <w:rFonts w:ascii="Times New Roman" w:eastAsiaTheme="minorHAnsi" w:hAnsi="Times New Roman" w:cs="Times New Roman"/>
                <w:b/>
                <w:sz w:val="28"/>
                <w:szCs w:val="24"/>
              </w:rPr>
            </w:pPr>
            <w:r>
              <w:rPr>
                <w:rFonts w:ascii="Times New Roman" w:hAnsi="Times New Roman" w:cs="Times New Roman"/>
                <w:b/>
                <w:color w:val="0070C0"/>
                <w:sz w:val="24"/>
              </w:rPr>
              <w:t>(This number rings on all recruiting phones)</w:t>
            </w: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B87BC" w14:textId="77777777" w:rsidR="00324C19" w:rsidRDefault="00324C19">
      <w:r>
        <w:separator/>
      </w:r>
    </w:p>
  </w:endnote>
  <w:endnote w:type="continuationSeparator" w:id="0">
    <w:p w14:paraId="2F8A597E" w14:textId="77777777" w:rsidR="00324C19" w:rsidRDefault="003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52AB" w14:textId="77777777" w:rsidR="00324C19" w:rsidRDefault="00324C19">
      <w:r>
        <w:separator/>
      </w:r>
    </w:p>
  </w:footnote>
  <w:footnote w:type="continuationSeparator" w:id="0">
    <w:p w14:paraId="02B47F43" w14:textId="77777777" w:rsidR="00324C19" w:rsidRDefault="003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655E8"/>
    <w:rsid w:val="000F5465"/>
    <w:rsid w:val="00126F33"/>
    <w:rsid w:val="00156881"/>
    <w:rsid w:val="00177C66"/>
    <w:rsid w:val="0018343D"/>
    <w:rsid w:val="001E03C5"/>
    <w:rsid w:val="002011E6"/>
    <w:rsid w:val="00204E8A"/>
    <w:rsid w:val="00214014"/>
    <w:rsid w:val="00235210"/>
    <w:rsid w:val="002355C0"/>
    <w:rsid w:val="00255CF1"/>
    <w:rsid w:val="003017FD"/>
    <w:rsid w:val="00324C19"/>
    <w:rsid w:val="003B72F6"/>
    <w:rsid w:val="003F2B77"/>
    <w:rsid w:val="00403E9C"/>
    <w:rsid w:val="00404A5A"/>
    <w:rsid w:val="0046007C"/>
    <w:rsid w:val="00461A3C"/>
    <w:rsid w:val="004A65CE"/>
    <w:rsid w:val="004F20F3"/>
    <w:rsid w:val="00535B9D"/>
    <w:rsid w:val="005477D6"/>
    <w:rsid w:val="00550D8C"/>
    <w:rsid w:val="00556AF6"/>
    <w:rsid w:val="0058233C"/>
    <w:rsid w:val="005A4332"/>
    <w:rsid w:val="005C126F"/>
    <w:rsid w:val="0061679B"/>
    <w:rsid w:val="006362C2"/>
    <w:rsid w:val="00692C4E"/>
    <w:rsid w:val="006B04F4"/>
    <w:rsid w:val="006E46BB"/>
    <w:rsid w:val="00720948"/>
    <w:rsid w:val="0073383C"/>
    <w:rsid w:val="00752BCA"/>
    <w:rsid w:val="007D797B"/>
    <w:rsid w:val="00834807"/>
    <w:rsid w:val="008357FC"/>
    <w:rsid w:val="00857996"/>
    <w:rsid w:val="008D6D3F"/>
    <w:rsid w:val="008E1DE2"/>
    <w:rsid w:val="00987FAF"/>
    <w:rsid w:val="00A02AF1"/>
    <w:rsid w:val="00A345AC"/>
    <w:rsid w:val="00A4072C"/>
    <w:rsid w:val="00A43F29"/>
    <w:rsid w:val="00A55051"/>
    <w:rsid w:val="00A8002E"/>
    <w:rsid w:val="00A8161F"/>
    <w:rsid w:val="00A85B1A"/>
    <w:rsid w:val="00AA3EFC"/>
    <w:rsid w:val="00AB101F"/>
    <w:rsid w:val="00AB23B0"/>
    <w:rsid w:val="00AB46A2"/>
    <w:rsid w:val="00AB6376"/>
    <w:rsid w:val="00AD4E28"/>
    <w:rsid w:val="00B26C7A"/>
    <w:rsid w:val="00B65656"/>
    <w:rsid w:val="00BB0FEA"/>
    <w:rsid w:val="00BE0D5C"/>
    <w:rsid w:val="00BF3E0F"/>
    <w:rsid w:val="00C3321F"/>
    <w:rsid w:val="00C560C7"/>
    <w:rsid w:val="00C82BAB"/>
    <w:rsid w:val="00C83338"/>
    <w:rsid w:val="00D56259"/>
    <w:rsid w:val="00D95F36"/>
    <w:rsid w:val="00D96363"/>
    <w:rsid w:val="00DB50A9"/>
    <w:rsid w:val="00EB1ECB"/>
    <w:rsid w:val="00F00C58"/>
    <w:rsid w:val="00F2440C"/>
    <w:rsid w:val="00F631D2"/>
    <w:rsid w:val="00F90652"/>
    <w:rsid w:val="00FB41E6"/>
    <w:rsid w:val="00FC342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563758862">
      <w:bodyDiv w:val="1"/>
      <w:marLeft w:val="0"/>
      <w:marRight w:val="0"/>
      <w:marTop w:val="0"/>
      <w:marBottom w:val="0"/>
      <w:divBdr>
        <w:top w:val="none" w:sz="0" w:space="0" w:color="auto"/>
        <w:left w:val="none" w:sz="0" w:space="0" w:color="auto"/>
        <w:bottom w:val="none" w:sz="0" w:space="0" w:color="auto"/>
        <w:right w:val="none" w:sz="0" w:space="0" w:color="auto"/>
      </w:divBdr>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2B55AA25974A4DBACF1562E23F20DF" ma:contentTypeVersion="2" ma:contentTypeDescription="Create a new document." ma:contentTypeScope="" ma:versionID="ceb5d9215d47cb8fa8f7a7d01c32f193">
  <xsd:schema xmlns:xsd="http://www.w3.org/2001/XMLSchema" xmlns:xs="http://www.w3.org/2001/XMLSchema" xmlns:p="http://schemas.microsoft.com/office/2006/metadata/properties" xmlns:ns2="5cbc5380-8526-4b75-b7e7-62ae2721191c" targetNamespace="http://schemas.microsoft.com/office/2006/metadata/properties" ma:root="true" ma:fieldsID="4cc91b9fc5c60ad65581541d16839495" ns2:_="">
    <xsd:import namespace="5cbc5380-8526-4b75-b7e7-62ae272119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c5380-8526-4b75-b7e7-62ae27211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2.xml><?xml version="1.0" encoding="utf-8"?>
<ds:datastoreItem xmlns:ds="http://schemas.openxmlformats.org/officeDocument/2006/customXml" ds:itemID="{7ED7B71F-6672-46FD-B117-89A5DD304161}">
  <ds:schemaRefs>
    <ds:schemaRef ds:uri="http://purl.org/dc/terms/"/>
    <ds:schemaRef ds:uri="http://schemas.openxmlformats.org/package/2006/metadata/core-properties"/>
    <ds:schemaRef ds:uri="http://schemas.microsoft.com/office/2006/documentManagement/types"/>
    <ds:schemaRef ds:uri="5cbc5380-8526-4b75-b7e7-62ae2721191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7E610DB-02DB-42A1-ABA0-D67E15E7C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c5380-8526-4b75-b7e7-62ae27211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PYLINSKI, BRENTON T TSgt USAF ANG 174 MOF/MXOP</cp:lastModifiedBy>
  <cp:revision>3</cp:revision>
  <dcterms:created xsi:type="dcterms:W3CDTF">2022-07-14T18:15:00Z</dcterms:created>
  <dcterms:modified xsi:type="dcterms:W3CDTF">2022-07-27T17:25:00Z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0x0101002A2B55AA25974A4DBACF1562E23F20DF</vt:lpwstr>
  </property>
</Properties>
</file>